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F" w:rsidRPr="00D077BB" w:rsidRDefault="0085409F" w:rsidP="0085409F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Cs w:val="24"/>
          <w:lang w:val="es-ES" w:eastAsia="es-ES"/>
        </w:rPr>
      </w:pPr>
      <w:r w:rsidRPr="00D077BB">
        <w:rPr>
          <w:rFonts w:ascii="Arial" w:eastAsia="Times New Roman" w:hAnsi="Arial" w:cs="Arial"/>
          <w:b/>
          <w:bCs/>
          <w:szCs w:val="24"/>
          <w:lang w:val="es-ES" w:eastAsia="es-ES"/>
        </w:rPr>
        <w:t>NOTIFICACIÓN POR AVISO</w:t>
      </w:r>
    </w:p>
    <w:tbl>
      <w:tblPr>
        <w:tblStyle w:val="Tablaconcuadrcula"/>
        <w:tblpPr w:leftFromText="141" w:rightFromText="141" w:vertAnchor="page" w:horzAnchor="margin" w:tblpXSpec="center" w:tblpY="3331"/>
        <w:tblW w:w="5000" w:type="pct"/>
        <w:tblLook w:val="0000" w:firstRow="0" w:lastRow="0" w:firstColumn="0" w:lastColumn="0" w:noHBand="0" w:noVBand="0"/>
      </w:tblPr>
      <w:tblGrid>
        <w:gridCol w:w="3693"/>
        <w:gridCol w:w="745"/>
        <w:gridCol w:w="460"/>
        <w:gridCol w:w="335"/>
        <w:gridCol w:w="1266"/>
        <w:gridCol w:w="3124"/>
      </w:tblGrid>
      <w:tr w:rsidR="0085409F" w:rsidRPr="004B2D04" w:rsidTr="00091665">
        <w:trPr>
          <w:trHeight w:val="318"/>
        </w:trPr>
        <w:tc>
          <w:tcPr>
            <w:tcW w:w="5000" w:type="pct"/>
            <w:gridSpan w:val="6"/>
            <w:vAlign w:val="center"/>
          </w:tcPr>
          <w:p w:rsidR="0085409F" w:rsidRDefault="0085409F" w:rsidP="00091665">
            <w:pPr>
              <w:pStyle w:val="Default"/>
              <w:spacing w:after="240" w:line="276" w:lineRule="auto"/>
              <w:jc w:val="both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La Oficina de Responsabilidad Fiscal y Jurisdicción Coactiva de la Contraloría General del Quindío, </w:t>
            </w:r>
            <w:r>
              <w:rPr>
                <w:sz w:val="22"/>
                <w:szCs w:val="22"/>
              </w:rPr>
              <w:t xml:space="preserve">de conformidad con el artículo 69 de la Ley 1437 de 2011, en concordancia con el artículo 4 del Decreto 491 de 2020, procede a </w:t>
            </w:r>
            <w:r w:rsidRPr="005E77C4">
              <w:rPr>
                <w:b/>
                <w:sz w:val="22"/>
                <w:szCs w:val="22"/>
              </w:rPr>
              <w:t xml:space="preserve">NOTIFICAR POR AVISO </w:t>
            </w:r>
            <w:r>
              <w:rPr>
                <w:sz w:val="22"/>
                <w:szCs w:val="22"/>
              </w:rPr>
              <w:t>a</w:t>
            </w:r>
            <w:r w:rsidR="009D0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señor</w:t>
            </w:r>
            <w:r w:rsidR="009D03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BB5B77">
              <w:rPr>
                <w:b/>
                <w:sz w:val="22"/>
                <w:szCs w:val="22"/>
              </w:rPr>
              <w:t xml:space="preserve">ALBA LUCIA RODRIGUEZ SIERRA </w:t>
            </w:r>
            <w:r>
              <w:rPr>
                <w:sz w:val="22"/>
                <w:szCs w:val="22"/>
              </w:rPr>
              <w:t>, identifica</w:t>
            </w:r>
            <w:r w:rsidR="00082A5E">
              <w:rPr>
                <w:sz w:val="22"/>
                <w:szCs w:val="22"/>
              </w:rPr>
              <w:t>do con cedula de ciudadanía No.</w:t>
            </w:r>
            <w:r>
              <w:rPr>
                <w:sz w:val="22"/>
                <w:szCs w:val="22"/>
              </w:rPr>
              <w:t xml:space="preserve"> </w:t>
            </w:r>
            <w:r w:rsidR="00BB5B77">
              <w:rPr>
                <w:sz w:val="22"/>
                <w:szCs w:val="22"/>
              </w:rPr>
              <w:t>41.912.293</w:t>
            </w:r>
            <w:r>
              <w:rPr>
                <w:sz w:val="22"/>
                <w:szCs w:val="22"/>
              </w:rPr>
              <w:t xml:space="preserve">, </w:t>
            </w:r>
            <w:r w:rsidR="00082A5E">
              <w:rPr>
                <w:sz w:val="22"/>
                <w:szCs w:val="22"/>
              </w:rPr>
              <w:t xml:space="preserve">toda vez que pasados cinco (5) días no se allega </w:t>
            </w:r>
            <w:r w:rsidR="00CE31F1">
              <w:rPr>
                <w:sz w:val="22"/>
                <w:szCs w:val="22"/>
              </w:rPr>
              <w:t>autorización</w:t>
            </w:r>
            <w:r w:rsidR="00082A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correo electrónico la Dirección Técnica de Control Fiscal de la Contraloría General del Quindío, </w:t>
            </w:r>
            <w:r w:rsidR="00082A5E">
              <w:rPr>
                <w:sz w:val="22"/>
                <w:szCs w:val="22"/>
              </w:rPr>
              <w:t xml:space="preserve">procederá a realizar la notificación mediante </w:t>
            </w:r>
            <w:r w:rsidR="00CE31F1">
              <w:rPr>
                <w:sz w:val="22"/>
                <w:szCs w:val="22"/>
              </w:rPr>
              <w:t>aviso</w:t>
            </w:r>
            <w:r>
              <w:rPr>
                <w:sz w:val="22"/>
                <w:szCs w:val="22"/>
              </w:rPr>
              <w:t xml:space="preserve"> </w:t>
            </w:r>
            <w:r w:rsidR="00852F34" w:rsidRPr="00852F34">
              <w:rPr>
                <w:b/>
                <w:sz w:val="22"/>
                <w:szCs w:val="22"/>
              </w:rPr>
              <w:t xml:space="preserve">EL AUTO </w:t>
            </w:r>
            <w:r w:rsidR="00CE31F1">
              <w:rPr>
                <w:b/>
                <w:sz w:val="22"/>
                <w:szCs w:val="22"/>
              </w:rPr>
              <w:t xml:space="preserve">DE FORMULACION DE CARGOS </w:t>
            </w:r>
            <w:r w:rsidR="00852F34" w:rsidRPr="00852F34">
              <w:rPr>
                <w:b/>
                <w:sz w:val="22"/>
                <w:szCs w:val="22"/>
              </w:rPr>
              <w:t>,</w:t>
            </w:r>
            <w:r w:rsidR="00852F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proferido dentro del Proceso Administrativo Sancionatorio Fiscal No. PASF-00</w:t>
            </w:r>
            <w:r w:rsidR="00CE31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-2021, en los siguientes términos: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AVISO No</w:t>
            </w:r>
            <w:r w:rsidRPr="00983B9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="00852F34">
              <w:rPr>
                <w:b/>
                <w:bCs/>
                <w:sz w:val="22"/>
                <w:szCs w:val="22"/>
              </w:rPr>
              <w:t>0</w:t>
            </w:r>
            <w:r w:rsidR="00BB5B77">
              <w:rPr>
                <w:b/>
                <w:bCs/>
                <w:sz w:val="22"/>
                <w:szCs w:val="22"/>
              </w:rPr>
              <w:t>3</w:t>
            </w:r>
            <w:r w:rsidR="00852F34">
              <w:rPr>
                <w:b/>
                <w:bCs/>
                <w:sz w:val="22"/>
                <w:szCs w:val="22"/>
              </w:rPr>
              <w:t>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elaboración: </w:t>
            </w:r>
            <w:r w:rsidR="00852F34">
              <w:rPr>
                <w:sz w:val="22"/>
                <w:szCs w:val="22"/>
              </w:rPr>
              <w:t>0</w:t>
            </w:r>
            <w:r w:rsidR="00E64A82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852F34">
              <w:rPr>
                <w:sz w:val="22"/>
                <w:szCs w:val="22"/>
              </w:rPr>
              <w:t>-03-2022</w:t>
            </w:r>
          </w:p>
          <w:p w:rsidR="0085409F" w:rsidRPr="004B2D04" w:rsidRDefault="0085409F" w:rsidP="00091665">
            <w:pPr>
              <w:pStyle w:val="Default"/>
              <w:spacing w:line="276" w:lineRule="auto"/>
              <w:contextualSpacing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Providencia No.: </w:t>
            </w:r>
            <w:r>
              <w:rPr>
                <w:sz w:val="22"/>
                <w:szCs w:val="22"/>
              </w:rPr>
              <w:t xml:space="preserve">      </w:t>
            </w:r>
            <w:r w:rsidRPr="004B2D04">
              <w:rPr>
                <w:sz w:val="22"/>
                <w:szCs w:val="22"/>
              </w:rPr>
              <w:t>S.N.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592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Providencia: </w:t>
            </w:r>
            <w:r>
              <w:rPr>
                <w:sz w:val="22"/>
                <w:szCs w:val="22"/>
              </w:rPr>
              <w:t xml:space="preserve">  </w:t>
            </w:r>
            <w:r w:rsidR="00CE31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E31F1">
              <w:rPr>
                <w:sz w:val="22"/>
                <w:szCs w:val="22"/>
              </w:rPr>
              <w:t xml:space="preserve"> de Enero de 2022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473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Tipo de Providencia: Auto </w:t>
            </w:r>
            <w:r w:rsidR="00CE31F1">
              <w:rPr>
                <w:sz w:val="22"/>
                <w:szCs w:val="22"/>
              </w:rPr>
              <w:t>de Formulación de cargos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PASF.</w:t>
            </w:r>
            <w:r w:rsidRPr="004B2D04">
              <w:rPr>
                <w:sz w:val="22"/>
                <w:szCs w:val="22"/>
              </w:rPr>
              <w:t xml:space="preserve"> No.:                </w:t>
            </w:r>
            <w:r w:rsidR="00CE31F1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CE31F1">
            <w:pPr>
              <w:pStyle w:val="Default"/>
              <w:tabs>
                <w:tab w:val="left" w:pos="2660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Entidad Afectada:     </w:t>
            </w:r>
            <w:r>
              <w:rPr>
                <w:sz w:val="22"/>
                <w:szCs w:val="22"/>
              </w:rPr>
              <w:t xml:space="preserve"> </w:t>
            </w:r>
            <w:r w:rsidR="00CE31F1">
              <w:rPr>
                <w:sz w:val="22"/>
                <w:szCs w:val="22"/>
              </w:rPr>
              <w:t>EMPRESAS PUBLICAS DEL QUINDIO EPQ SA</w:t>
            </w:r>
          </w:p>
        </w:tc>
      </w:tr>
      <w:tr w:rsidR="0085409F" w:rsidRPr="004B2D04" w:rsidTr="00091665">
        <w:trPr>
          <w:trHeight w:val="211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Proferido por:           </w:t>
            </w:r>
            <w:r>
              <w:rPr>
                <w:sz w:val="22"/>
                <w:szCs w:val="22"/>
              </w:rPr>
              <w:t xml:space="preserve"> </w:t>
            </w:r>
            <w:r w:rsidR="00852F34">
              <w:rPr>
                <w:sz w:val="22"/>
                <w:szCs w:val="22"/>
              </w:rPr>
              <w:t>JULIO CESAR HOYOS RAMIREZ</w:t>
            </w:r>
          </w:p>
          <w:p w:rsidR="0085409F" w:rsidRPr="004B2D04" w:rsidRDefault="0085409F" w:rsidP="00091665">
            <w:pPr>
              <w:pStyle w:val="Default"/>
              <w:tabs>
                <w:tab w:val="left" w:pos="199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Dependencia:          </w:t>
            </w:r>
            <w:r>
              <w:rPr>
                <w:sz w:val="22"/>
                <w:szCs w:val="22"/>
              </w:rPr>
              <w:t xml:space="preserve"> </w:t>
            </w:r>
            <w:r w:rsidRPr="004B2D04">
              <w:rPr>
                <w:sz w:val="22"/>
                <w:szCs w:val="22"/>
              </w:rPr>
              <w:t>Jefe Ofi</w:t>
            </w:r>
            <w:r>
              <w:rPr>
                <w:sz w:val="22"/>
                <w:szCs w:val="22"/>
              </w:rPr>
              <w:t>cina de Responsabilidad Fiscal y</w:t>
            </w:r>
            <w:r w:rsidRPr="004B2D04">
              <w:rPr>
                <w:sz w:val="22"/>
                <w:szCs w:val="22"/>
              </w:rPr>
              <w:t xml:space="preserve"> Jurisdicción Coactiva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Se le hace saber que contra la presente decisión procede: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211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Procede. </w:t>
            </w:r>
          </w:p>
          <w:p w:rsidR="0085409F" w:rsidRPr="004B2D04" w:rsidRDefault="0085409F" w:rsidP="00091665">
            <w:pPr>
              <w:pStyle w:val="Default"/>
              <w:jc w:val="center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ind w:left="27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Término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(días)  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Dependencia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Argumentos de defensa: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Responsabilidad Fiscal y Jurisdicción Coactiva</w:t>
            </w: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Reposición: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287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Recurso de Apelación: 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tabs>
                <w:tab w:val="left" w:pos="2389"/>
                <w:tab w:val="center" w:pos="3628"/>
              </w:tabs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106"/>
        </w:trPr>
        <w:tc>
          <w:tcPr>
            <w:tcW w:w="1919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>Otro: Grado de consulta</w:t>
            </w:r>
          </w:p>
        </w:tc>
        <w:tc>
          <w:tcPr>
            <w:tcW w:w="387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  X</w:t>
            </w:r>
          </w:p>
        </w:tc>
        <w:tc>
          <w:tcPr>
            <w:tcW w:w="658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3" w:type="pct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</w:tr>
      <w:tr w:rsidR="0085409F" w:rsidRPr="004B2D04" w:rsidTr="00091665">
        <w:trPr>
          <w:trHeight w:val="551"/>
        </w:trPr>
        <w:tc>
          <w:tcPr>
            <w:tcW w:w="2545" w:type="pct"/>
            <w:gridSpan w:val="3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Fecha de envío de solicitud correo electrónico para notificación personal: </w:t>
            </w:r>
          </w:p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5" w:type="pct"/>
            <w:gridSpan w:val="3"/>
            <w:vAlign w:val="center"/>
          </w:tcPr>
          <w:p w:rsidR="0085409F" w:rsidRPr="004B2D04" w:rsidRDefault="0085409F" w:rsidP="00CE31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E31F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CE31F1">
              <w:rPr>
                <w:rFonts w:ascii="Arial" w:hAnsi="Arial" w:cs="Arial"/>
                <w:color w:val="000000"/>
              </w:rPr>
              <w:t>enero</w:t>
            </w:r>
            <w:r>
              <w:rPr>
                <w:rFonts w:ascii="Arial" w:hAnsi="Arial" w:cs="Arial"/>
                <w:color w:val="000000"/>
              </w:rPr>
              <w:t xml:space="preserve"> de 202</w:t>
            </w:r>
            <w:r w:rsidR="00CE31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409F" w:rsidRPr="004B2D04" w:rsidTr="00091665">
        <w:trPr>
          <w:trHeight w:val="106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091665">
            <w:pPr>
              <w:pStyle w:val="Default"/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Acompaña al presente aviso copia íntegra del acto administrativo así: </w:t>
            </w:r>
          </w:p>
        </w:tc>
      </w:tr>
      <w:tr w:rsidR="0085409F" w:rsidRPr="004B2D04" w:rsidTr="00091665">
        <w:trPr>
          <w:trHeight w:val="212"/>
        </w:trPr>
        <w:tc>
          <w:tcPr>
            <w:tcW w:w="5000" w:type="pct"/>
            <w:gridSpan w:val="6"/>
            <w:vAlign w:val="center"/>
          </w:tcPr>
          <w:p w:rsidR="0085409F" w:rsidRPr="004B2D04" w:rsidRDefault="0085409F" w:rsidP="003C7D0A">
            <w:pPr>
              <w:pStyle w:val="Default"/>
              <w:tabs>
                <w:tab w:val="left" w:pos="1745"/>
                <w:tab w:val="center" w:pos="3628"/>
              </w:tabs>
              <w:rPr>
                <w:sz w:val="22"/>
                <w:szCs w:val="22"/>
              </w:rPr>
            </w:pPr>
            <w:r w:rsidRPr="004B2D04">
              <w:rPr>
                <w:sz w:val="22"/>
                <w:szCs w:val="22"/>
              </w:rPr>
              <w:t xml:space="preserve">Anexo providencia en: </w:t>
            </w:r>
            <w:r w:rsidR="00852F34">
              <w:rPr>
                <w:sz w:val="22"/>
                <w:szCs w:val="22"/>
              </w:rPr>
              <w:t>tres (</w:t>
            </w:r>
            <w:r w:rsidR="003C7D0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  <w:r w:rsidRPr="004B2D04">
              <w:rPr>
                <w:sz w:val="22"/>
                <w:szCs w:val="22"/>
              </w:rPr>
              <w:t xml:space="preserve"> folios. </w:t>
            </w:r>
          </w:p>
        </w:tc>
      </w:tr>
    </w:tbl>
    <w:p w:rsidR="0085409F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</w:p>
    <w:p w:rsidR="0085409F" w:rsidRPr="009F531A" w:rsidRDefault="0085409F" w:rsidP="0085409F">
      <w:pPr>
        <w:spacing w:after="0" w:line="276" w:lineRule="auto"/>
        <w:jc w:val="both"/>
        <w:rPr>
          <w:rFonts w:ascii="Arial" w:hAnsi="Arial" w:cs="Arial"/>
          <w:bCs/>
          <w:szCs w:val="24"/>
        </w:rPr>
      </w:pPr>
      <w:r w:rsidRPr="009F531A">
        <w:rPr>
          <w:rFonts w:ascii="Arial" w:hAnsi="Arial" w:cs="Arial"/>
          <w:bCs/>
          <w:szCs w:val="24"/>
        </w:rPr>
        <w:t>La presente notificación se considerará surtida al finalizar el día siguiente de</w:t>
      </w:r>
      <w:r>
        <w:rPr>
          <w:rFonts w:ascii="Arial" w:hAnsi="Arial" w:cs="Arial"/>
          <w:bCs/>
          <w:szCs w:val="24"/>
        </w:rPr>
        <w:t xml:space="preserve">l envío del correo  electrónico. </w:t>
      </w:r>
    </w:p>
    <w:p w:rsidR="0085409F" w:rsidRDefault="0085409F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:rsidR="0085409F" w:rsidRDefault="001907A0" w:rsidP="0085409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B7DAE48" wp14:editId="0CAAB211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A0" w:rsidRDefault="001907A0" w:rsidP="0085409F">
      <w:pPr>
        <w:spacing w:after="0"/>
        <w:jc w:val="both"/>
        <w:rPr>
          <w:rFonts w:ascii="Arial" w:hAnsi="Arial" w:cs="Arial"/>
          <w:b/>
          <w:szCs w:val="24"/>
        </w:rPr>
      </w:pPr>
      <w:r w:rsidRPr="001907A0">
        <w:rPr>
          <w:rFonts w:ascii="Arial" w:hAnsi="Arial" w:cs="Arial"/>
          <w:b/>
          <w:szCs w:val="24"/>
        </w:rPr>
        <w:t>JULIO CÉSAR HOYOS RAMÍREZ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 xml:space="preserve">Jefe Oficina de Responsabilidad Fiscal y Jurisdicción Coactiva </w:t>
      </w:r>
      <w:r w:rsidR="001907A0">
        <w:rPr>
          <w:rFonts w:ascii="Arial" w:hAnsi="Arial" w:cs="Arial"/>
          <w:szCs w:val="24"/>
        </w:rPr>
        <w:t>(E)</w:t>
      </w:r>
    </w:p>
    <w:p w:rsidR="0085409F" w:rsidRPr="000F641C" w:rsidRDefault="0085409F" w:rsidP="0085409F">
      <w:pPr>
        <w:spacing w:after="0"/>
        <w:jc w:val="both"/>
        <w:rPr>
          <w:rFonts w:ascii="Arial" w:hAnsi="Arial" w:cs="Arial"/>
          <w:szCs w:val="24"/>
        </w:rPr>
      </w:pPr>
      <w:r w:rsidRPr="000F641C">
        <w:rPr>
          <w:rFonts w:ascii="Arial" w:hAnsi="Arial" w:cs="Arial"/>
          <w:szCs w:val="24"/>
        </w:rPr>
        <w:t>Contraloría General del Quindío</w:t>
      </w:r>
    </w:p>
    <w:p w:rsidR="0085409F" w:rsidRPr="004B2D04" w:rsidRDefault="0085409F" w:rsidP="0085409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85409F" w:rsidRPr="002026EC" w:rsidTr="0009166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1907A0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852F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</w:t>
            </w:r>
            <w:r w:rsidR="00852F34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03-2022</w:t>
            </w:r>
          </w:p>
        </w:tc>
      </w:tr>
      <w:tr w:rsidR="0085409F" w:rsidRPr="002026EC" w:rsidTr="0009166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09F" w:rsidRPr="002026EC" w:rsidRDefault="00852F34" w:rsidP="0009166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Julio Cesar Hoyos </w:t>
            </w:r>
            <w:r w:rsidR="001907A0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09F" w:rsidRPr="002026EC" w:rsidRDefault="00852F34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85409F" w:rsidRPr="002026EC" w:rsidTr="0009166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409F" w:rsidRPr="002026EC" w:rsidRDefault="0085409F" w:rsidP="0009166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2026EC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2D54C9" w:rsidRDefault="002D54C9" w:rsidP="0085409F"/>
    <w:sectPr w:rsidR="002D54C9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77" w:rsidRDefault="008F2477">
      <w:pPr>
        <w:spacing w:after="0" w:line="240" w:lineRule="auto"/>
      </w:pPr>
      <w:r>
        <w:separator/>
      </w:r>
    </w:p>
  </w:endnote>
  <w:endnote w:type="continuationSeparator" w:id="0">
    <w:p w:rsidR="008F2477" w:rsidRDefault="008F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3566A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4321A" wp14:editId="4832CA4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3566A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3566A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</w:t>
                    </w: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 xml:space="preserve">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77" w:rsidRDefault="008F2477">
      <w:pPr>
        <w:spacing w:after="0" w:line="240" w:lineRule="auto"/>
      </w:pPr>
      <w:r>
        <w:separator/>
      </w:r>
    </w:p>
  </w:footnote>
  <w:footnote w:type="continuationSeparator" w:id="0">
    <w:p w:rsidR="008F2477" w:rsidRDefault="008F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463"/>
      <w:gridCol w:w="4733"/>
      <w:gridCol w:w="2427"/>
    </w:tblGrid>
    <w:tr w:rsidR="003C7D0A" w:rsidRPr="003C7D0A" w:rsidTr="00E77783">
      <w:trPr>
        <w:trHeight w:val="312"/>
        <w:jc w:val="center"/>
      </w:trPr>
      <w:tc>
        <w:tcPr>
          <w:tcW w:w="1280" w:type="pct"/>
          <w:vMerge w:val="restart"/>
        </w:tcPr>
        <w:p w:rsidR="003C7D0A" w:rsidRPr="003C7D0A" w:rsidRDefault="003C7D0A" w:rsidP="003C7D0A">
          <w:pPr>
            <w:pStyle w:val="Encabezado"/>
          </w:pPr>
          <w:r w:rsidRPr="003C7D0A">
            <w:rPr>
              <w:noProof/>
              <w:lang w:eastAsia="es-CO"/>
            </w:rPr>
            <w:drawing>
              <wp:inline distT="0" distB="0" distL="0" distR="0" wp14:anchorId="7F21EFD0" wp14:editId="53FA0475">
                <wp:extent cx="1143000" cy="762000"/>
                <wp:effectExtent l="0" t="0" r="0" b="0"/>
                <wp:docPr id="5" name="Imagen 5" descr="LOG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9" w:type="pct"/>
          <w:vMerge w:val="restart"/>
          <w:vAlign w:val="center"/>
        </w:tcPr>
        <w:p w:rsidR="003C7D0A" w:rsidRPr="003C7D0A" w:rsidRDefault="003C7D0A" w:rsidP="003C7D0A">
          <w:pPr>
            <w:pStyle w:val="Encabezado"/>
            <w:rPr>
              <w:b/>
            </w:rPr>
          </w:pPr>
          <w:r w:rsidRPr="003C7D0A">
            <w:rPr>
              <w:b/>
            </w:rPr>
            <w:t xml:space="preserve">Contraloría General del Quindío </w:t>
          </w: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Código:  FO-GC-26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Fecha:  07/04/20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>Versión: 3</w:t>
          </w:r>
        </w:p>
      </w:tc>
    </w:tr>
    <w:tr w:rsidR="003C7D0A" w:rsidRPr="003C7D0A" w:rsidTr="00E77783">
      <w:trPr>
        <w:trHeight w:val="312"/>
        <w:jc w:val="center"/>
      </w:trPr>
      <w:tc>
        <w:tcPr>
          <w:tcW w:w="1280" w:type="pct"/>
          <w:vMerge/>
        </w:tcPr>
        <w:p w:rsidR="003C7D0A" w:rsidRPr="003C7D0A" w:rsidRDefault="003C7D0A" w:rsidP="003C7D0A">
          <w:pPr>
            <w:pStyle w:val="Encabezado"/>
          </w:pPr>
        </w:p>
      </w:tc>
      <w:tc>
        <w:tcPr>
          <w:tcW w:w="2459" w:type="pct"/>
          <w:vMerge/>
        </w:tcPr>
        <w:p w:rsidR="003C7D0A" w:rsidRPr="003C7D0A" w:rsidRDefault="003C7D0A" w:rsidP="003C7D0A">
          <w:pPr>
            <w:pStyle w:val="Encabezado"/>
            <w:rPr>
              <w:b/>
            </w:rPr>
          </w:pPr>
        </w:p>
      </w:tc>
      <w:tc>
        <w:tcPr>
          <w:tcW w:w="1261" w:type="pct"/>
          <w:vAlign w:val="bottom"/>
        </w:tcPr>
        <w:p w:rsidR="003C7D0A" w:rsidRPr="003C7D0A" w:rsidRDefault="003C7D0A" w:rsidP="003C7D0A">
          <w:pPr>
            <w:pStyle w:val="Encabezado"/>
          </w:pPr>
          <w:r w:rsidRPr="003C7D0A">
            <w:t xml:space="preserve">Página: </w:t>
          </w:r>
          <w:r w:rsidRPr="003C7D0A">
            <w:fldChar w:fldCharType="begin"/>
          </w:r>
          <w:r w:rsidRPr="003C7D0A">
            <w:instrText>PAGE   \* MERGEFORMAT</w:instrText>
          </w:r>
          <w:r w:rsidRPr="003C7D0A">
            <w:fldChar w:fldCharType="separate"/>
          </w:r>
          <w:r w:rsidR="00E64A82">
            <w:rPr>
              <w:noProof/>
            </w:rPr>
            <w:t>1</w:t>
          </w:r>
          <w:r w:rsidRPr="003C7D0A">
            <w:fldChar w:fldCharType="end"/>
          </w:r>
        </w:p>
      </w:tc>
    </w:tr>
  </w:tbl>
  <w:p w:rsidR="00EF327B" w:rsidRDefault="008F2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F"/>
    <w:rsid w:val="00082A5E"/>
    <w:rsid w:val="001907A0"/>
    <w:rsid w:val="002D54C9"/>
    <w:rsid w:val="0033645F"/>
    <w:rsid w:val="003566A9"/>
    <w:rsid w:val="003C7D0A"/>
    <w:rsid w:val="0049693D"/>
    <w:rsid w:val="0052043F"/>
    <w:rsid w:val="005B613E"/>
    <w:rsid w:val="00852F34"/>
    <w:rsid w:val="0085409F"/>
    <w:rsid w:val="008A3908"/>
    <w:rsid w:val="008F2477"/>
    <w:rsid w:val="009D039C"/>
    <w:rsid w:val="00A27716"/>
    <w:rsid w:val="00BB5B77"/>
    <w:rsid w:val="00CE31F1"/>
    <w:rsid w:val="00E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09F"/>
  </w:style>
  <w:style w:type="table" w:styleId="Tablaconcuadrcula">
    <w:name w:val="Table Grid"/>
    <w:basedOn w:val="Tablanormal"/>
    <w:uiPriority w:val="59"/>
    <w:rsid w:val="00854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09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4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9F"/>
  </w:style>
  <w:style w:type="paragraph" w:customStyle="1" w:styleId="Default">
    <w:name w:val="Default"/>
    <w:rsid w:val="008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quindio</dc:creator>
  <cp:lastModifiedBy>contraloria quindio</cp:lastModifiedBy>
  <cp:revision>4</cp:revision>
  <cp:lastPrinted>2021-12-01T14:40:00Z</cp:lastPrinted>
  <dcterms:created xsi:type="dcterms:W3CDTF">2022-03-02T20:33:00Z</dcterms:created>
  <dcterms:modified xsi:type="dcterms:W3CDTF">2022-03-02T20:45:00Z</dcterms:modified>
</cp:coreProperties>
</file>